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rPr>
          <w:rFonts w:ascii="Times New Roman" w:hAnsi="Times New Roman"/>
          <w:b/>
        </w:rPr>
      </w:pPr>
    </w:p>
    <w:p w:rsidR="00CA250E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093F68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093F68">
        <w:rPr>
          <w:rFonts w:ascii="Times New Roman" w:hAnsi="Times New Roman"/>
          <w:b/>
        </w:rPr>
        <w:t>15. 8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rPr>
          <w:rFonts w:ascii="Times New Roman" w:hAnsi="Times New Roman"/>
        </w:rPr>
      </w:pPr>
    </w:p>
    <w:p w:rsidR="009E04AE" w:rsidRPr="00031E1A" w:rsidRDefault="0071597E" w:rsidP="000C3F4E">
      <w:pPr>
        <w:jc w:val="center"/>
        <w:rPr>
          <w:rFonts w:ascii="Times New Roman" w:hAnsi="Times New Roman"/>
          <w:b/>
          <w:sz w:val="36"/>
          <w:szCs w:val="36"/>
        </w:rPr>
      </w:pPr>
      <w:r w:rsidRPr="00031E1A">
        <w:rPr>
          <w:rFonts w:ascii="Times New Roman" w:hAnsi="Times New Roman"/>
          <w:b/>
          <w:sz w:val="36"/>
          <w:szCs w:val="36"/>
        </w:rPr>
        <w:t>Vedoucí</w:t>
      </w:r>
      <w:r w:rsidR="000C3F4E" w:rsidRPr="00031E1A">
        <w:rPr>
          <w:rFonts w:ascii="Times New Roman" w:hAnsi="Times New Roman"/>
          <w:b/>
          <w:sz w:val="36"/>
          <w:szCs w:val="36"/>
        </w:rPr>
        <w:t xml:space="preserve"> Odbo</w:t>
      </w:r>
      <w:r w:rsidR="00620CD0" w:rsidRPr="00031E1A">
        <w:rPr>
          <w:rFonts w:ascii="Times New Roman" w:hAnsi="Times New Roman"/>
          <w:b/>
          <w:sz w:val="36"/>
          <w:szCs w:val="36"/>
        </w:rPr>
        <w:t>ru kultury a školství</w:t>
      </w:r>
    </w:p>
    <w:p w:rsidR="000C3F4E" w:rsidRPr="007A4CE6" w:rsidRDefault="000C3F4E" w:rsidP="000C3F4E">
      <w:pPr>
        <w:jc w:val="center"/>
        <w:rPr>
          <w:rFonts w:ascii="Times New Roman" w:hAnsi="Times New Roman"/>
        </w:rPr>
      </w:pPr>
    </w:p>
    <w:tbl>
      <w:tblPr>
        <w:tblStyle w:val="Mkatabulky"/>
        <w:tblW w:w="9497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04"/>
        <w:gridCol w:w="472"/>
        <w:gridCol w:w="6238"/>
      </w:tblGrid>
      <w:tr w:rsidR="002D5806" w:rsidRPr="007A4CE6" w:rsidTr="00851BFB">
        <w:trPr>
          <w:trHeight w:val="1164"/>
        </w:trPr>
        <w:tc>
          <w:tcPr>
            <w:tcW w:w="2787" w:type="dxa"/>
            <w:gridSpan w:val="2"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E702EE" w:rsidRDefault="002D5806" w:rsidP="00E702E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6238" w:type="dxa"/>
          </w:tcPr>
          <w:p w:rsidR="002D5806" w:rsidRPr="002D5806" w:rsidRDefault="00093F68" w:rsidP="00620CD0">
            <w:pPr>
              <w:ind w:left="39"/>
              <w:rPr>
                <w:rFonts w:ascii="Times New Roman" w:hAnsi="Times New Roman"/>
              </w:rPr>
            </w:pPr>
            <w:r w:rsidRPr="00093F68">
              <w:rPr>
                <w:rFonts w:ascii="Times New Roman" w:hAnsi="Times New Roman"/>
              </w:rPr>
              <w:t xml:space="preserve">Vedoucí úředník státní správy a </w:t>
            </w:r>
            <w:r w:rsidR="00620CD0">
              <w:rPr>
                <w:rFonts w:ascii="Times New Roman" w:hAnsi="Times New Roman"/>
              </w:rPr>
              <w:t>samosprávy</w:t>
            </w:r>
            <w:r w:rsidRPr="00093F68">
              <w:rPr>
                <w:rFonts w:ascii="Times New Roman" w:hAnsi="Times New Roman"/>
              </w:rPr>
              <w:t>.</w:t>
            </w:r>
            <w:r w:rsidR="00620CD0">
              <w:rPr>
                <w:rFonts w:ascii="Times New Roman" w:hAnsi="Times New Roman"/>
              </w:rPr>
              <w:t xml:space="preserve"> </w:t>
            </w:r>
            <w:r w:rsidR="00620CD0" w:rsidRPr="00620CD0">
              <w:rPr>
                <w:rFonts w:ascii="Times New Roman" w:hAnsi="Times New Roman"/>
              </w:rPr>
              <w:t>Koncepční činnost a zajišťování systémových opat</w:t>
            </w:r>
            <w:r w:rsidR="00620CD0">
              <w:rPr>
                <w:rFonts w:ascii="Times New Roman" w:hAnsi="Times New Roman"/>
              </w:rPr>
              <w:t>ř</w:t>
            </w:r>
            <w:r w:rsidR="000B1FE5">
              <w:rPr>
                <w:rFonts w:ascii="Times New Roman" w:hAnsi="Times New Roman"/>
              </w:rPr>
              <w:t>en</w:t>
            </w:r>
            <w:r w:rsidR="00851BFB">
              <w:rPr>
                <w:rFonts w:ascii="Times New Roman" w:hAnsi="Times New Roman"/>
              </w:rPr>
              <w:t>í pro oblast vzdělávání (školní i předškolní)</w:t>
            </w:r>
            <w:r w:rsidR="00620CD0">
              <w:rPr>
                <w:rFonts w:ascii="Times New Roman" w:hAnsi="Times New Roman"/>
              </w:rPr>
              <w:t xml:space="preserve"> a kultury na území MČ Praha-Zbraslav</w:t>
            </w:r>
            <w:r w:rsidR="00620CD0" w:rsidRPr="00620CD0">
              <w:rPr>
                <w:rFonts w:ascii="Times New Roman" w:hAnsi="Times New Roman"/>
              </w:rPr>
              <w:t>.</w:t>
            </w:r>
            <w:r w:rsidR="004E02D6">
              <w:rPr>
                <w:rFonts w:ascii="Times New Roman" w:hAnsi="Times New Roman"/>
              </w:rPr>
              <w:t xml:space="preserve"> Řízení odboru a z</w:t>
            </w:r>
            <w:r w:rsidR="00620CD0">
              <w:rPr>
                <w:rFonts w:ascii="Times New Roman" w:hAnsi="Times New Roman"/>
              </w:rPr>
              <w:t>ajištění vedení</w:t>
            </w:r>
            <w:r w:rsidR="000B1FE5">
              <w:rPr>
                <w:rFonts w:ascii="Times New Roman" w:hAnsi="Times New Roman"/>
              </w:rPr>
              <w:t>:</w:t>
            </w:r>
            <w:r w:rsidR="00620CD0">
              <w:rPr>
                <w:rFonts w:ascii="Times New Roman" w:hAnsi="Times New Roman"/>
              </w:rPr>
              <w:t xml:space="preserve"> kulturních a společenských akcí, provozu infocentra, aktivit v oblasti školství i mimoškolních aktivit, spolupráce s neziskovým sektorem</w:t>
            </w:r>
            <w:r w:rsidR="000B1FE5">
              <w:rPr>
                <w:rFonts w:ascii="Times New Roman" w:hAnsi="Times New Roman"/>
              </w:rPr>
              <w:t xml:space="preserve">, </w:t>
            </w:r>
            <w:r w:rsidR="00620CD0">
              <w:rPr>
                <w:rFonts w:ascii="Times New Roman" w:hAnsi="Times New Roman"/>
              </w:rPr>
              <w:t>Oddělení knihovny</w:t>
            </w:r>
            <w:r w:rsidR="000B1FE5">
              <w:rPr>
                <w:rFonts w:ascii="Times New Roman" w:hAnsi="Times New Roman"/>
              </w:rPr>
              <w:t>.</w:t>
            </w:r>
            <w:r w:rsidR="00851BFB">
              <w:rPr>
                <w:rFonts w:ascii="Times New Roman" w:hAnsi="Times New Roman"/>
              </w:rPr>
              <w:t xml:space="preserve"> Koordinace aktivit a činností v oblasti kultury a vzdělávání. Komunikace se zástupci příspěvkových organizací MČ Praha-Zbraslav. </w:t>
            </w:r>
          </w:p>
        </w:tc>
      </w:tr>
      <w:tr w:rsidR="007A4CE6" w:rsidRPr="007A4CE6" w:rsidTr="00851BFB">
        <w:trPr>
          <w:trHeight w:val="567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238" w:type="dxa"/>
          </w:tcPr>
          <w:p w:rsidR="00C350F2" w:rsidRPr="007A4CE6" w:rsidRDefault="00093F68" w:rsidP="00C35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850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238" w:type="dxa"/>
          </w:tcPr>
          <w:p w:rsidR="009E04AE" w:rsidRPr="007A4CE6" w:rsidRDefault="00A04D0A" w:rsidP="00C83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45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238" w:type="dxa"/>
            <w:vAlign w:val="center"/>
          </w:tcPr>
          <w:p w:rsidR="00C350F2" w:rsidRPr="007A4CE6" w:rsidRDefault="009E04AE" w:rsidP="00C83797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</w:t>
            </w:r>
            <w:r w:rsidR="00093F68">
              <w:rPr>
                <w:rFonts w:ascii="Times New Roman" w:hAnsi="Times New Roman"/>
                <w:b/>
              </w:rPr>
              <w:t>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62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C350F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238" w:type="dxa"/>
            <w:vAlign w:val="center"/>
          </w:tcPr>
          <w:p w:rsidR="00C350F2" w:rsidRPr="007A4CE6" w:rsidRDefault="009E04AE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</w:t>
            </w:r>
            <w:r w:rsidR="008A08E9">
              <w:rPr>
                <w:rFonts w:ascii="Times New Roman" w:hAnsi="Times New Roman"/>
              </w:rPr>
              <w:t>u neurčitou se zkušební lhůtou 6 měsíců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104855" w:rsidRPr="007A4CE6" w:rsidRDefault="00104855" w:rsidP="009E04A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8C6C11" w:rsidRDefault="008C6C11" w:rsidP="00104855">
            <w:pPr>
              <w:rPr>
                <w:rFonts w:ascii="Times New Roman" w:hAnsi="Times New Roman"/>
                <w:b/>
              </w:rPr>
            </w:pPr>
          </w:p>
          <w:p w:rsidR="009E04AE" w:rsidRPr="007A4CE6" w:rsidRDefault="009E04AE" w:rsidP="00104855">
            <w:pPr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E702EE">
              <w:rPr>
                <w:rFonts w:ascii="Times New Roman" w:hAnsi="Times New Roman"/>
              </w:rPr>
              <w:t> </w:t>
            </w:r>
            <w:r w:rsidRPr="00E702EE">
              <w:rPr>
                <w:rFonts w:ascii="Times New Roman" w:hAnsi="Times New Roman"/>
              </w:rPr>
              <w:t>má v České republice trvalý pobyt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dosáhla věku 18 let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způsobilá k právním úkonům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ovládá jednací jazyk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8C6C11" w:rsidRPr="00851BFB" w:rsidRDefault="008C6C11" w:rsidP="009E04AE">
            <w:pPr>
              <w:ind w:left="2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F68" w:rsidRPr="007A4CE6" w:rsidRDefault="009E04AE" w:rsidP="00851BFB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04855" w:rsidRPr="0024175B" w:rsidRDefault="00104855" w:rsidP="0024175B">
            <w:pPr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0B1FE5" w:rsidRDefault="00DD054E" w:rsidP="000B1FE5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středoškolské nebo vysokoškolské vzdělání</w:t>
            </w:r>
            <w:bookmarkStart w:id="0" w:name="_GoBack"/>
            <w:bookmarkEnd w:id="0"/>
          </w:p>
          <w:p w:rsidR="000B1FE5" w:rsidRDefault="000B1FE5" w:rsidP="000B1FE5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orientace v oblasti kultury a vzdělávání (školní i předškolní vzdělávání)</w:t>
            </w:r>
          </w:p>
          <w:p w:rsidR="000B1FE5" w:rsidRPr="000B1FE5" w:rsidRDefault="000B1FE5" w:rsidP="000B1FE5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0B1FE5">
              <w:rPr>
                <w:rFonts w:ascii="Times New Roman" w:hAnsi="Times New Roman"/>
              </w:rPr>
              <w:t>znalost školské legislativy a schopnost aplikace v praxi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zkouška zvláštní odborné způsobilosti výhodou</w:t>
            </w:r>
          </w:p>
          <w:p w:rsidR="00093F68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dobrá znalost práce na PC</w:t>
            </w:r>
          </w:p>
          <w:p w:rsidR="00065136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komunikační schopnosti</w:t>
            </w:r>
          </w:p>
          <w:p w:rsidR="00065136" w:rsidRPr="00031E1A" w:rsidRDefault="00065136" w:rsidP="00031E1A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zodpovědnost, samostatnost, analytické myšlení</w:t>
            </w:r>
            <w:r w:rsidR="00031E1A">
              <w:rPr>
                <w:rFonts w:ascii="Times New Roman" w:hAnsi="Times New Roman"/>
              </w:rPr>
              <w:t xml:space="preserve">, </w:t>
            </w:r>
            <w:r w:rsidRPr="00031E1A">
              <w:rPr>
                <w:rFonts w:ascii="Times New Roman" w:hAnsi="Times New Roman"/>
              </w:rPr>
              <w:t>flexibilita</w:t>
            </w:r>
          </w:p>
          <w:p w:rsidR="00851BFB" w:rsidRDefault="00065136" w:rsidP="00851BFB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93BA4">
              <w:rPr>
                <w:rFonts w:ascii="Times New Roman" w:hAnsi="Times New Roman"/>
              </w:rPr>
              <w:t xml:space="preserve">praxe v oblasti řízení zaměstnanců a vedení týmu v projektovém řízení </w:t>
            </w:r>
            <w:r>
              <w:rPr>
                <w:rFonts w:ascii="Times New Roman" w:hAnsi="Times New Roman"/>
              </w:rPr>
              <w:t>výhodou</w:t>
            </w:r>
          </w:p>
          <w:p w:rsidR="00065136" w:rsidRPr="00851BFB" w:rsidRDefault="00065136" w:rsidP="00851BFB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851BFB">
              <w:rPr>
                <w:rFonts w:ascii="Times New Roman" w:hAnsi="Times New Roman"/>
              </w:rPr>
              <w:t>praxe v oblasti obecní samosprávy a veřejné správy výhodou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1A0B23" w:rsidRPr="007A4CE6" w:rsidRDefault="001A4432" w:rsidP="00065136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lastRenderedPageBreak/>
              <w:t>Uchazeč podá písemnou přihlášku (jako samostatný dokument), která musí obsahovat tyto náležitosti: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851BFB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C350F2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výpis z evidence Rejstříku trestů ne starší než 3 měsíce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</w:p>
          <w:p w:rsidR="00A03687" w:rsidRDefault="00A03687" w:rsidP="00A03687">
            <w:pPr>
              <w:tabs>
                <w:tab w:val="left" w:pos="532"/>
              </w:tabs>
              <w:rPr>
                <w:rFonts w:ascii="Times New Roman" w:hAnsi="Times New Roman"/>
                <w:b/>
              </w:rPr>
            </w:pPr>
          </w:p>
          <w:p w:rsidR="00A03687" w:rsidRDefault="00A03687" w:rsidP="00A03687">
            <w:pPr>
              <w:tabs>
                <w:tab w:val="left" w:pos="532"/>
              </w:tabs>
              <w:rPr>
                <w:rFonts w:ascii="Times New Roman" w:hAnsi="Times New Roman"/>
                <w:b/>
              </w:rPr>
            </w:pPr>
            <w:r w:rsidRPr="00A03687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</w:rPr>
              <w:t> </w:t>
            </w:r>
            <w:r w:rsidRPr="00A03687">
              <w:rPr>
                <w:rFonts w:ascii="Times New Roman" w:hAnsi="Times New Roman"/>
                <w:b/>
              </w:rPr>
              <w:t>případě</w:t>
            </w:r>
            <w:r>
              <w:rPr>
                <w:rFonts w:ascii="Times New Roman" w:hAnsi="Times New Roman"/>
                <w:b/>
              </w:rPr>
              <w:t xml:space="preserve"> občanů narozených před 1. prosincem 1971 dále:</w:t>
            </w:r>
          </w:p>
          <w:p w:rsidR="008C6C11" w:rsidRPr="00A03687" w:rsidRDefault="00A03687" w:rsidP="00A03687">
            <w:pPr>
              <w:pStyle w:val="Odstavecseseznamem"/>
              <w:numPr>
                <w:ilvl w:val="0"/>
                <w:numId w:val="9"/>
              </w:numPr>
              <w:tabs>
                <w:tab w:val="left" w:pos="601"/>
              </w:tabs>
              <w:ind w:left="601" w:hanging="284"/>
              <w:rPr>
                <w:rFonts w:ascii="Times New Roman" w:hAnsi="Times New Roman"/>
                <w:b/>
              </w:rPr>
            </w:pPr>
            <w:r w:rsidRPr="001309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čestné prohlášení ve smyslu §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odst. 3 zákona č. 451/1991 Sb.</w:t>
            </w:r>
          </w:p>
          <w:p w:rsidR="00A03687" w:rsidRPr="00A03687" w:rsidRDefault="00A03687" w:rsidP="00A03687">
            <w:pPr>
              <w:pStyle w:val="Odstavecseseznamem"/>
              <w:numPr>
                <w:ilvl w:val="0"/>
                <w:numId w:val="9"/>
              </w:numPr>
              <w:tabs>
                <w:tab w:val="left" w:pos="601"/>
              </w:tabs>
              <w:ind w:left="601" w:hanging="284"/>
              <w:rPr>
                <w:rFonts w:ascii="Times New Roman" w:hAnsi="Times New Roman"/>
                <w:b/>
              </w:rPr>
            </w:pPr>
            <w:r w:rsidRPr="001309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ověřenou kopii osvědčení ve smyslu ustanovení § 4 odst. 1 zákona č. 451/1991 Sb.</w:t>
            </w:r>
          </w:p>
        </w:tc>
      </w:tr>
      <w:tr w:rsidR="00EF2568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B62945" w:rsidRDefault="00B62945" w:rsidP="00EF2568">
            <w:pPr>
              <w:rPr>
                <w:rFonts w:ascii="Times New Roman" w:hAnsi="Times New Roman"/>
                <w:b/>
              </w:rPr>
            </w:pPr>
          </w:p>
          <w:p w:rsidR="00B62945" w:rsidRDefault="00EF2568" w:rsidP="00EF2568">
            <w:pPr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Osobní ohodnocení, odměny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Stravenky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dovolenou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1A4432" w:rsidRPr="007A4CE6" w:rsidRDefault="001A4432" w:rsidP="00E07D9C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065136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065136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065136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065136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065136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B62945" w:rsidRPr="00A03687" w:rsidRDefault="00B62945" w:rsidP="004C52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A4432" w:rsidRPr="007A4CE6" w:rsidRDefault="001A4432" w:rsidP="004C52A5">
            <w:pPr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A03687">
              <w:rPr>
                <w:rFonts w:ascii="Times New Roman" w:hAnsi="Times New Roman"/>
                <w:b/>
              </w:rPr>
              <w:t>VŘ - Vedoucí</w:t>
            </w:r>
            <w:r w:rsidR="00065136">
              <w:rPr>
                <w:rFonts w:ascii="Times New Roman" w:hAnsi="Times New Roman"/>
                <w:b/>
              </w:rPr>
              <w:t xml:space="preserve"> Od</w:t>
            </w:r>
            <w:r w:rsidR="00851BFB">
              <w:rPr>
                <w:rFonts w:ascii="Times New Roman" w:hAnsi="Times New Roman"/>
                <w:b/>
              </w:rPr>
              <w:t>boru kultury a školství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851BFB">
        <w:trPr>
          <w:trHeight w:val="397"/>
        </w:trPr>
        <w:tc>
          <w:tcPr>
            <w:tcW w:w="9497" w:type="dxa"/>
            <w:gridSpan w:val="4"/>
            <w:vAlign w:val="center"/>
          </w:tcPr>
          <w:p w:rsidR="00A337F8" w:rsidRPr="00A03687" w:rsidRDefault="00A337F8" w:rsidP="00EF256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52A5" w:rsidRPr="007A4CE6" w:rsidRDefault="00EF2568" w:rsidP="00EF25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ind w:left="60"/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065136">
        <w:rPr>
          <w:rFonts w:ascii="Times New Roman" w:hAnsi="Times New Roman"/>
        </w:rPr>
        <w:t xml:space="preserve"> 15. 8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A03687" w:rsidRDefault="00A03687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Pr="007A4CE6" w:rsidRDefault="00065136" w:rsidP="009E04AE">
      <w:pPr>
        <w:rPr>
          <w:rFonts w:ascii="Times New Roman" w:hAnsi="Times New Roman"/>
        </w:rPr>
      </w:pPr>
    </w:p>
    <w:p w:rsidR="009E04AE" w:rsidRDefault="009E04AE" w:rsidP="00065136">
      <w:pPr>
        <w:jc w:val="left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065136">
      <w:pPr>
        <w:jc w:val="left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065136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E" w:rsidRDefault="000E49EE" w:rsidP="00394AB2">
      <w:r>
        <w:separator/>
      </w:r>
    </w:p>
  </w:endnote>
  <w:endnote w:type="continuationSeparator" w:id="0">
    <w:p w:rsidR="000E49EE" w:rsidRDefault="000E49EE" w:rsidP="003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E" w:rsidRDefault="000E49EE" w:rsidP="00394AB2">
      <w:r>
        <w:separator/>
      </w:r>
    </w:p>
  </w:footnote>
  <w:footnote w:type="continuationSeparator" w:id="0">
    <w:p w:rsidR="000E49EE" w:rsidRDefault="000E49EE" w:rsidP="0039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093F68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093F68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B0922"/>
    <w:multiLevelType w:val="hybridMultilevel"/>
    <w:tmpl w:val="1692557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82F7DEB"/>
    <w:multiLevelType w:val="hybridMultilevel"/>
    <w:tmpl w:val="77567E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2E53"/>
    <w:multiLevelType w:val="hybridMultilevel"/>
    <w:tmpl w:val="1020E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2827"/>
    <w:multiLevelType w:val="hybridMultilevel"/>
    <w:tmpl w:val="2950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070E1"/>
    <w:rsid w:val="00031E1A"/>
    <w:rsid w:val="00037C18"/>
    <w:rsid w:val="00056B7A"/>
    <w:rsid w:val="00065136"/>
    <w:rsid w:val="000724D4"/>
    <w:rsid w:val="00080676"/>
    <w:rsid w:val="00092BD6"/>
    <w:rsid w:val="00093F68"/>
    <w:rsid w:val="000B1FE5"/>
    <w:rsid w:val="000B449B"/>
    <w:rsid w:val="000B4B73"/>
    <w:rsid w:val="000C3F4E"/>
    <w:rsid w:val="000C6936"/>
    <w:rsid w:val="000C745A"/>
    <w:rsid w:val="000E49EE"/>
    <w:rsid w:val="000F3D1B"/>
    <w:rsid w:val="00104855"/>
    <w:rsid w:val="001A0B23"/>
    <w:rsid w:val="001A4432"/>
    <w:rsid w:val="001B09AF"/>
    <w:rsid w:val="001C26C2"/>
    <w:rsid w:val="001F1F50"/>
    <w:rsid w:val="002319A9"/>
    <w:rsid w:val="0024175B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3E16"/>
    <w:rsid w:val="00384927"/>
    <w:rsid w:val="00391EF5"/>
    <w:rsid w:val="00394AB2"/>
    <w:rsid w:val="0039509A"/>
    <w:rsid w:val="00426ABB"/>
    <w:rsid w:val="00427506"/>
    <w:rsid w:val="00473B74"/>
    <w:rsid w:val="004C2D19"/>
    <w:rsid w:val="004C52A5"/>
    <w:rsid w:val="004E02D6"/>
    <w:rsid w:val="004F0C11"/>
    <w:rsid w:val="00526AEE"/>
    <w:rsid w:val="0053040D"/>
    <w:rsid w:val="005A08E7"/>
    <w:rsid w:val="005A095F"/>
    <w:rsid w:val="005B388F"/>
    <w:rsid w:val="005D42D7"/>
    <w:rsid w:val="00620CD0"/>
    <w:rsid w:val="00632E47"/>
    <w:rsid w:val="007026AA"/>
    <w:rsid w:val="0071597E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2DA2"/>
    <w:rsid w:val="00823FB1"/>
    <w:rsid w:val="00827655"/>
    <w:rsid w:val="00832B3F"/>
    <w:rsid w:val="00851BFB"/>
    <w:rsid w:val="0086457E"/>
    <w:rsid w:val="00864D1A"/>
    <w:rsid w:val="008673F8"/>
    <w:rsid w:val="008A08E9"/>
    <w:rsid w:val="008C1148"/>
    <w:rsid w:val="008C6C11"/>
    <w:rsid w:val="008D4303"/>
    <w:rsid w:val="008E7337"/>
    <w:rsid w:val="00907E0A"/>
    <w:rsid w:val="00950054"/>
    <w:rsid w:val="00954E49"/>
    <w:rsid w:val="009A25B5"/>
    <w:rsid w:val="009A7484"/>
    <w:rsid w:val="009B42F6"/>
    <w:rsid w:val="009B56F4"/>
    <w:rsid w:val="009D42BF"/>
    <w:rsid w:val="009E04AE"/>
    <w:rsid w:val="009F156A"/>
    <w:rsid w:val="00A03687"/>
    <w:rsid w:val="00A04D0A"/>
    <w:rsid w:val="00A072B4"/>
    <w:rsid w:val="00A20CEA"/>
    <w:rsid w:val="00A337F8"/>
    <w:rsid w:val="00A61D18"/>
    <w:rsid w:val="00AA77EC"/>
    <w:rsid w:val="00AC0A52"/>
    <w:rsid w:val="00AE5EFE"/>
    <w:rsid w:val="00B27868"/>
    <w:rsid w:val="00B37BDC"/>
    <w:rsid w:val="00B62945"/>
    <w:rsid w:val="00B73142"/>
    <w:rsid w:val="00B95164"/>
    <w:rsid w:val="00BD42CD"/>
    <w:rsid w:val="00BD7968"/>
    <w:rsid w:val="00BE2468"/>
    <w:rsid w:val="00BE55C1"/>
    <w:rsid w:val="00C0438D"/>
    <w:rsid w:val="00C34C3A"/>
    <w:rsid w:val="00C350F2"/>
    <w:rsid w:val="00C402BE"/>
    <w:rsid w:val="00C45583"/>
    <w:rsid w:val="00C83797"/>
    <w:rsid w:val="00C9384E"/>
    <w:rsid w:val="00CA250E"/>
    <w:rsid w:val="00CC155C"/>
    <w:rsid w:val="00CE361C"/>
    <w:rsid w:val="00CF7B0B"/>
    <w:rsid w:val="00D30AFA"/>
    <w:rsid w:val="00D7138C"/>
    <w:rsid w:val="00D71D0D"/>
    <w:rsid w:val="00D828B2"/>
    <w:rsid w:val="00D90F6E"/>
    <w:rsid w:val="00DB0296"/>
    <w:rsid w:val="00DB76DE"/>
    <w:rsid w:val="00DD054E"/>
    <w:rsid w:val="00DF53E5"/>
    <w:rsid w:val="00E021F8"/>
    <w:rsid w:val="00E07D9C"/>
    <w:rsid w:val="00E44F12"/>
    <w:rsid w:val="00E6308E"/>
    <w:rsid w:val="00E702EE"/>
    <w:rsid w:val="00E833C9"/>
    <w:rsid w:val="00EB6B01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6</cp:revision>
  <cp:lastPrinted>2019-08-16T16:04:00Z</cp:lastPrinted>
  <dcterms:created xsi:type="dcterms:W3CDTF">2019-08-16T14:30:00Z</dcterms:created>
  <dcterms:modified xsi:type="dcterms:W3CDTF">2019-08-16T16:07:00Z</dcterms:modified>
</cp:coreProperties>
</file>